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C3D" w:rsidRPr="004B7E17" w:rsidRDefault="002D6C3D" w:rsidP="002D6C3D">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600AC2">
        <w:rPr>
          <w:rFonts w:ascii="Arial" w:hAnsi="Arial" w:cs="Arial"/>
          <w:b/>
          <w:noProof/>
          <w:sz w:val="24"/>
          <w:szCs w:val="24"/>
        </w:rPr>
        <w:t>AH-1</w:t>
      </w:r>
      <w:r w:rsidRPr="00C45A63">
        <w:rPr>
          <w:rFonts w:ascii="Arial" w:hAnsi="Arial" w:cs="Arial"/>
          <w:b/>
          <w:noProof/>
          <w:sz w:val="24"/>
          <w:szCs w:val="24"/>
        </w:rPr>
        <w:t>8</w:t>
      </w:r>
      <w:r w:rsidR="00600AC2">
        <w:rPr>
          <w:rFonts w:ascii="Arial" w:hAnsi="Arial" w:cs="Arial"/>
          <w:b/>
          <w:noProof/>
          <w:sz w:val="24"/>
          <w:szCs w:val="24"/>
        </w:rPr>
        <w:t>0</w:t>
      </w:r>
      <w:r w:rsidR="00413377">
        <w:rPr>
          <w:rFonts w:ascii="Arial" w:hAnsi="Arial" w:cs="Arial"/>
          <w:b/>
          <w:noProof/>
          <w:sz w:val="24"/>
          <w:szCs w:val="24"/>
        </w:rPr>
        <w:t>7</w:t>
      </w:r>
      <w:r w:rsidRPr="004B7E17">
        <w:rPr>
          <w:rFonts w:ascii="Arial" w:hAnsi="Arial" w:cs="Arial"/>
          <w:b/>
          <w:noProof/>
          <w:sz w:val="24"/>
          <w:szCs w:val="24"/>
        </w:rPr>
        <w:tab/>
      </w:r>
      <w:r w:rsidR="007F26D3">
        <w:rPr>
          <w:rFonts w:ascii="Arial" w:hAnsi="Arial" w:cs="Arial"/>
          <w:b/>
          <w:bCs/>
          <w:color w:val="808080"/>
          <w:sz w:val="26"/>
          <w:szCs w:val="26"/>
        </w:rPr>
        <w:t>R4-1809312</w:t>
      </w:r>
    </w:p>
    <w:p w:rsidR="00951617" w:rsidRDefault="00951617" w:rsidP="00951617">
      <w:pPr>
        <w:pStyle w:val="Footer"/>
        <w:jc w:val="both"/>
        <w:rPr>
          <w:i w:val="0"/>
          <w:noProof w:val="0"/>
          <w:sz w:val="24"/>
          <w:szCs w:val="24"/>
          <w:lang w:eastAsia="ja-JP"/>
        </w:rPr>
      </w:pPr>
      <w:r>
        <w:rPr>
          <w:rFonts w:eastAsia="SimSun"/>
          <w:i w:val="0"/>
          <w:noProof w:val="0"/>
          <w:sz w:val="24"/>
          <w:szCs w:val="24"/>
        </w:rPr>
        <w:t>Montreal</w:t>
      </w:r>
      <w:r>
        <w:rPr>
          <w:i w:val="0"/>
          <w:noProof w:val="0"/>
          <w:sz w:val="24"/>
          <w:szCs w:val="24"/>
          <w:lang w:eastAsia="ja-JP"/>
        </w:rPr>
        <w:t>, Canada July 2</w:t>
      </w:r>
      <w:r>
        <w:rPr>
          <w:i w:val="0"/>
          <w:noProof w:val="0"/>
          <w:sz w:val="24"/>
          <w:szCs w:val="24"/>
          <w:vertAlign w:val="superscript"/>
          <w:lang w:eastAsia="ja-JP"/>
        </w:rPr>
        <w:t>nd</w:t>
      </w:r>
      <w:r>
        <w:rPr>
          <w:i w:val="0"/>
          <w:noProof w:val="0"/>
          <w:sz w:val="24"/>
          <w:szCs w:val="24"/>
          <w:lang w:eastAsia="ja-JP"/>
        </w:rPr>
        <w:t>- 6</w:t>
      </w:r>
      <w:r w:rsidRPr="002E04DB">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D6C3D" w:rsidRPr="002D6C3D">
        <w:rPr>
          <w:rFonts w:ascii="Arial" w:hAnsi="Arial" w:cs="Arial"/>
          <w:b/>
          <w:color w:val="000000"/>
          <w:sz w:val="24"/>
          <w:szCs w:val="24"/>
        </w:rPr>
        <w:t>Handover timeline</w:t>
      </w:r>
      <w:r w:rsidR="00413377">
        <w:rPr>
          <w:rFonts w:ascii="Arial" w:hAnsi="Arial" w:cs="Arial"/>
          <w:b/>
          <w:color w:val="000000"/>
          <w:sz w:val="24"/>
          <w:szCs w:val="24"/>
        </w:rPr>
        <w:t>s</w:t>
      </w:r>
      <w:r w:rsidR="002D6C3D" w:rsidRPr="002D6C3D">
        <w:rPr>
          <w:rFonts w:ascii="Arial" w:hAnsi="Arial" w:cs="Arial"/>
          <w:b/>
          <w:color w:val="000000"/>
          <w:sz w:val="24"/>
          <w:szCs w:val="24"/>
        </w:rPr>
        <w:t xml:space="preserve"> </w:t>
      </w:r>
      <w:r w:rsidR="008F090D">
        <w:rPr>
          <w:rFonts w:ascii="Arial" w:hAnsi="Arial" w:cs="Arial"/>
          <w:b/>
          <w:color w:val="000000"/>
          <w:sz w:val="24"/>
          <w:szCs w:val="24"/>
        </w:rPr>
        <w:t>for FR2 in</w:t>
      </w:r>
      <w:r w:rsidR="002D6C3D" w:rsidRPr="002D6C3D">
        <w:rPr>
          <w:rFonts w:ascii="Arial" w:hAnsi="Arial" w:cs="Arial"/>
          <w:b/>
          <w:color w:val="000000"/>
          <w:sz w:val="24"/>
          <w:szCs w:val="24"/>
        </w:rPr>
        <w:t xml:space="preserve"> NR</w:t>
      </w:r>
      <w:r w:rsidR="00BC6855">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BC6855"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951617" w:rsidRPr="00951617">
        <w:rPr>
          <w:rFonts w:ascii="Arial" w:hAnsi="Arial" w:cs="Arial"/>
          <w:b/>
          <w:color w:val="000000"/>
          <w:sz w:val="24"/>
          <w:szCs w:val="24"/>
        </w:rPr>
        <w:t>5.2.6.1 - Handover and random access (Intra-NR handover)[NR_newRAT-Core]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A73FE5">
      <w:r>
        <w:pict>
          <v:rect id="_x0000_i1025" style="width:0;height:1.5pt" o:hralign="center" o:hrstd="t" o:hr="t" fillcolor="#a0a0a0" stroked="f"/>
        </w:pict>
      </w:r>
    </w:p>
    <w:p w:rsidR="00E15948" w:rsidRDefault="00E15948" w:rsidP="00E15948">
      <w:pPr>
        <w:pStyle w:val="Heading1"/>
      </w:pPr>
      <w:r w:rsidRPr="00E15948">
        <w:t>Introduction</w:t>
      </w:r>
    </w:p>
    <w:p w:rsidR="008F090D" w:rsidRPr="008F090D" w:rsidRDefault="008F090D" w:rsidP="008F090D">
      <w:r>
        <w:t>In contribution we provide our view on the remaining TBD’s in handover involving FR2 in NR.</w:t>
      </w:r>
    </w:p>
    <w:p w:rsidR="004C752C" w:rsidRDefault="007D168B" w:rsidP="007D168B">
      <w:pPr>
        <w:pStyle w:val="Heading1"/>
      </w:pPr>
      <w:r>
        <w:t>Discussion</w:t>
      </w:r>
    </w:p>
    <w:p w:rsidR="008A2940" w:rsidRDefault="00BC480F" w:rsidP="007D168B">
      <w:pPr>
        <w:pStyle w:val="Heading2"/>
      </w:pPr>
      <w:r>
        <w:t>I</w:t>
      </w:r>
      <w:r w:rsidR="00AF248E">
        <w:t>nterruption Time</w:t>
      </w:r>
      <w:r w:rsidR="002C13FE">
        <w:t xml:space="preserve"> for FR2 </w:t>
      </w:r>
    </w:p>
    <w:p w:rsidR="008F090D" w:rsidRDefault="008F090D" w:rsidP="008F090D"/>
    <w:p w:rsidR="008F090D" w:rsidRDefault="008F090D" w:rsidP="008F090D">
      <w:r>
        <w:t>The two open items for FR2 HO are T</w:t>
      </w:r>
      <w:r w:rsidRPr="008F090D">
        <w:rPr>
          <w:vertAlign w:val="subscript"/>
        </w:rPr>
        <w:t>search</w:t>
      </w:r>
      <w:r>
        <w:t xml:space="preserve"> for inter-band case and </w:t>
      </w:r>
      <w:r w:rsidRPr="008F090D">
        <w:t>T</w:t>
      </w:r>
      <w:r w:rsidRPr="008F090D">
        <w:rPr>
          <w:vertAlign w:val="subscript"/>
        </w:rPr>
        <w:t>∆</w:t>
      </w:r>
      <w:r>
        <w:t xml:space="preserve">, </w:t>
      </w:r>
      <w:r w:rsidRPr="008F090D">
        <w:t>time for fine time tracking and acquiring full timing information</w:t>
      </w:r>
      <w:r>
        <w:t xml:space="preserve">. </w:t>
      </w:r>
    </w:p>
    <w:p w:rsidR="008F090D" w:rsidRDefault="008F090D" w:rsidP="008F090D">
      <w:pPr>
        <w:rPr>
          <w:rFonts w:cs="v4.2.0"/>
        </w:rPr>
      </w:pPr>
      <w:r>
        <w:t>In RAN4#87, it was decided that T</w:t>
      </w:r>
      <w:r w:rsidRPr="008F090D">
        <w:rPr>
          <w:vertAlign w:val="subscript"/>
        </w:rPr>
        <w:t>search</w:t>
      </w:r>
      <w:r>
        <w:t xml:space="preserve"> for inter-band case will be </w:t>
      </w:r>
      <w:r w:rsidRPr="0005008B">
        <w:rPr>
          <w:rFonts w:cs="v4.2.0"/>
        </w:rPr>
        <w:t>T</w:t>
      </w:r>
      <w:r w:rsidRPr="0005008B">
        <w:rPr>
          <w:rFonts w:cs="v4.2.0"/>
          <w:vertAlign w:val="subscript"/>
        </w:rPr>
        <w:t>search</w:t>
      </w:r>
      <w:r w:rsidRPr="0005008B">
        <w:rPr>
          <w:rFonts w:cs="v4.2.0"/>
        </w:rPr>
        <w:t xml:space="preserve"> = </w:t>
      </w:r>
      <w:r>
        <w:rPr>
          <w:rFonts w:cs="v4.2.0"/>
        </w:rPr>
        <w:t>[N1*(2 or 4)*</w:t>
      </w:r>
      <w:r w:rsidRPr="008F0EE1">
        <w:rPr>
          <w:rFonts w:cs="v4.2.0"/>
        </w:rPr>
        <w:t xml:space="preserve"> </w:t>
      </w:r>
      <w:r>
        <w:rPr>
          <w:rFonts w:cs="v4.2.0"/>
        </w:rPr>
        <w:t>SMTC periodicity + 5]</w:t>
      </w:r>
      <w:r w:rsidRPr="0005008B">
        <w:rPr>
          <w:rFonts w:cs="v4.2.0"/>
        </w:rPr>
        <w:t xml:space="preserve"> ms</w:t>
      </w:r>
      <w:r>
        <w:rPr>
          <w:rFonts w:cs="v4.2.0"/>
        </w:rPr>
        <w:t xml:space="preserve">.  On a per-beam basis, the UE will need at most 1 sample for AGC and then an additional sample to acquire timing using SSB. Thus, the UE should not need more than 2 sample for search. </w:t>
      </w:r>
    </w:p>
    <w:p w:rsidR="008F090D" w:rsidRDefault="008F090D" w:rsidP="008F090D">
      <w:pPr>
        <w:rPr>
          <w:rFonts w:cs="v4.2.0"/>
        </w:rPr>
      </w:pPr>
      <w:r w:rsidRPr="008F090D">
        <w:rPr>
          <w:rFonts w:cs="v4.2.0"/>
          <w:b/>
        </w:rPr>
        <w:t>Proposal 1</w:t>
      </w:r>
      <w:r>
        <w:rPr>
          <w:rFonts w:cs="v4.2.0"/>
        </w:rPr>
        <w:t xml:space="preserve">: Tsearch for inter-band case shall be </w:t>
      </w:r>
      <w:r>
        <w:rPr>
          <w:rFonts w:cs="v4.2.0"/>
        </w:rPr>
        <w:t>[N1*2*</w:t>
      </w:r>
      <w:r w:rsidRPr="008F0EE1">
        <w:rPr>
          <w:rFonts w:cs="v4.2.0"/>
        </w:rPr>
        <w:t xml:space="preserve"> </w:t>
      </w:r>
      <w:r>
        <w:rPr>
          <w:rFonts w:cs="v4.2.0"/>
        </w:rPr>
        <w:t>SMTC periodicity + 5]</w:t>
      </w:r>
      <w:r w:rsidRPr="0005008B">
        <w:rPr>
          <w:rFonts w:cs="v4.2.0"/>
        </w:rPr>
        <w:t xml:space="preserve"> ms</w:t>
      </w:r>
    </w:p>
    <w:p w:rsidR="008F090D" w:rsidRDefault="008F090D" w:rsidP="008F090D">
      <w:r>
        <w:rPr>
          <w:rFonts w:cs="v4.2.0"/>
        </w:rPr>
        <w:t xml:space="preserve">With regards </w:t>
      </w:r>
      <w:r w:rsidRPr="008F090D">
        <w:t>T</w:t>
      </w:r>
      <w:r w:rsidRPr="008F090D">
        <w:rPr>
          <w:vertAlign w:val="subscript"/>
        </w:rPr>
        <w:t>∆</w:t>
      </w:r>
      <w:r>
        <w:t>,</w:t>
      </w:r>
      <w:r>
        <w:t xml:space="preserve"> the finer time tracking is done after the UE has already acquired timing on a beam. This should not take more than 1 sample and there is no need to do a beam sweep at this point. </w:t>
      </w:r>
    </w:p>
    <w:p w:rsidR="008F090D" w:rsidRPr="008F090D" w:rsidRDefault="008F090D" w:rsidP="008F090D">
      <w:r w:rsidRPr="008F090D">
        <w:rPr>
          <w:b/>
        </w:rPr>
        <w:t>Proposal 2</w:t>
      </w:r>
      <w:r>
        <w:t xml:space="preserve">: </w:t>
      </w:r>
      <w:r w:rsidRPr="008F090D">
        <w:t>T</w:t>
      </w:r>
      <w:r w:rsidRPr="008F090D">
        <w:rPr>
          <w:vertAlign w:val="subscript"/>
        </w:rPr>
        <w:t>∆</w:t>
      </w:r>
      <w:r w:rsidRPr="008F090D">
        <w:t xml:space="preserve"> shal</w:t>
      </w:r>
      <w:r>
        <w:t>l be 1 SMTC period</w:t>
      </w:r>
    </w:p>
    <w:p w:rsidR="002C13FE" w:rsidRDefault="00267E59" w:rsidP="00267E59">
      <w:pPr>
        <w:pStyle w:val="Heading2"/>
      </w:pPr>
      <w:r>
        <w:t>Inter FR HO (FR1-FR2 or FR2-FR1)</w:t>
      </w:r>
    </w:p>
    <w:p w:rsidR="00267E59" w:rsidRDefault="00267E59" w:rsidP="00267E59"/>
    <w:p w:rsidR="009F76A4" w:rsidRDefault="00267E59" w:rsidP="009F76A4">
      <w:r>
        <w:t xml:space="preserve">For inter FR HO, </w:t>
      </w:r>
      <w:r w:rsidR="009F76A4">
        <w:t xml:space="preserve">the other open item was how long of ago would the last measurement report need to be provided to assume that the RF chip for FR2 is on. Our proposal is to use a time of 500ms for this purpose, beyond which the UE will switch the chip off to save power. </w:t>
      </w:r>
    </w:p>
    <w:p w:rsidR="009F76A4" w:rsidRDefault="009F76A4" w:rsidP="009F76A4">
      <w:r w:rsidRPr="009F76A4">
        <w:rPr>
          <w:b/>
        </w:rPr>
        <w:t>Proposal 3</w:t>
      </w:r>
      <w:r>
        <w:t xml:space="preserve">: </w:t>
      </w:r>
      <w:r w:rsidRPr="009F76A4">
        <w:t>T</w:t>
      </w:r>
      <w:bookmarkStart w:id="0" w:name="_GoBack"/>
      <w:r w:rsidRPr="00A73FE5">
        <w:rPr>
          <w:vertAlign w:val="subscript"/>
        </w:rPr>
        <w:t>processing</w:t>
      </w:r>
      <w:bookmarkEnd w:id="0"/>
      <w:r w:rsidRPr="009F76A4">
        <w:t xml:space="preserve"> is time for UE processing. Tprocessing can be up 20ms if UE provides the measurement report within the last </w:t>
      </w:r>
      <w:r w:rsidRPr="009F76A4">
        <w:rPr>
          <w:b/>
        </w:rPr>
        <w:t xml:space="preserve">[500] ms </w:t>
      </w:r>
      <w:r w:rsidRPr="009F76A4">
        <w:t>for the target cell before the handover command is received. Otherwise Tprocessing can be up 40ms.</w:t>
      </w:r>
    </w:p>
    <w:p w:rsidR="006C4B0B" w:rsidRDefault="006C4B0B" w:rsidP="006C4B0B">
      <w:pPr>
        <w:pStyle w:val="Heading1"/>
      </w:pPr>
      <w:r>
        <w:lastRenderedPageBreak/>
        <w:t>Conclusions</w:t>
      </w:r>
    </w:p>
    <w:p w:rsidR="008D1D5E" w:rsidRDefault="007C5479" w:rsidP="00143214">
      <w:r>
        <w:t>In this contribution, we provide our inputs on interruption time during NR handover.</w:t>
      </w:r>
    </w:p>
    <w:p w:rsidR="009F76A4" w:rsidRDefault="009F76A4" w:rsidP="009F76A4">
      <w:pPr>
        <w:rPr>
          <w:rFonts w:cs="v4.2.0"/>
        </w:rPr>
      </w:pPr>
      <w:r w:rsidRPr="008F090D">
        <w:rPr>
          <w:rFonts w:cs="v4.2.0"/>
          <w:b/>
        </w:rPr>
        <w:t>Proposal 1</w:t>
      </w:r>
      <w:r>
        <w:rPr>
          <w:rFonts w:cs="v4.2.0"/>
        </w:rPr>
        <w:t>: Tsearch for inter-band case shall be [N1*2*</w:t>
      </w:r>
      <w:r w:rsidRPr="008F0EE1">
        <w:rPr>
          <w:rFonts w:cs="v4.2.0"/>
        </w:rPr>
        <w:t xml:space="preserve"> </w:t>
      </w:r>
      <w:r>
        <w:rPr>
          <w:rFonts w:cs="v4.2.0"/>
        </w:rPr>
        <w:t>SMTC periodicity + 5]</w:t>
      </w:r>
      <w:r w:rsidRPr="0005008B">
        <w:rPr>
          <w:rFonts w:cs="v4.2.0"/>
        </w:rPr>
        <w:t xml:space="preserve"> ms</w:t>
      </w:r>
    </w:p>
    <w:p w:rsidR="009F76A4" w:rsidRPr="008F090D" w:rsidRDefault="009F76A4" w:rsidP="009F76A4">
      <w:r w:rsidRPr="008F090D">
        <w:rPr>
          <w:b/>
        </w:rPr>
        <w:t>Proposal 2</w:t>
      </w:r>
      <w:r>
        <w:t xml:space="preserve">: </w:t>
      </w:r>
      <w:r w:rsidRPr="008F090D">
        <w:t>T</w:t>
      </w:r>
      <w:r w:rsidRPr="008F090D">
        <w:rPr>
          <w:vertAlign w:val="subscript"/>
        </w:rPr>
        <w:t>∆</w:t>
      </w:r>
      <w:r w:rsidRPr="008F090D">
        <w:t xml:space="preserve"> shal</w:t>
      </w:r>
      <w:r>
        <w:t>l be 1 SMTC period</w:t>
      </w:r>
    </w:p>
    <w:p w:rsidR="009F76A4" w:rsidRDefault="009F76A4" w:rsidP="009F76A4">
      <w:r w:rsidRPr="009F76A4">
        <w:rPr>
          <w:b/>
        </w:rPr>
        <w:t>Proposal 3</w:t>
      </w:r>
      <w:r>
        <w:t xml:space="preserve">: </w:t>
      </w:r>
      <w:r w:rsidRPr="009F76A4">
        <w:t xml:space="preserve">Tprocessing is time for UE processing. Tprocessing can be up 20ms if UE provides the measurement report within the last </w:t>
      </w:r>
      <w:r w:rsidRPr="009F76A4">
        <w:rPr>
          <w:b/>
        </w:rPr>
        <w:t xml:space="preserve">[500] ms </w:t>
      </w:r>
      <w:r w:rsidRPr="009F76A4">
        <w:t>for the target cell before the handover command is received. Otherwise Tprocessing can be up 40ms.</w:t>
      </w:r>
    </w:p>
    <w:p w:rsidR="00BC3FEF" w:rsidRPr="008D1D5E" w:rsidRDefault="00BC3FEF" w:rsidP="008D1D5E">
      <w:r>
        <w:t xml:space="preserve"> </w:t>
      </w:r>
    </w:p>
    <w:sectPr w:rsidR="00BC3FEF" w:rsidRPr="008D1D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D36A1"/>
    <w:multiLevelType w:val="hybridMultilevel"/>
    <w:tmpl w:val="D7D6C99E"/>
    <w:lvl w:ilvl="0" w:tplc="649E65BC">
      <w:start w:val="1"/>
      <w:numFmt w:val="bullet"/>
      <w:lvlText w:val="–"/>
      <w:lvlJc w:val="left"/>
      <w:pPr>
        <w:tabs>
          <w:tab w:val="num" w:pos="720"/>
        </w:tabs>
        <w:ind w:left="720" w:hanging="360"/>
      </w:pPr>
      <w:rPr>
        <w:rFonts w:ascii="Arial" w:hAnsi="Arial" w:hint="default"/>
      </w:rPr>
    </w:lvl>
    <w:lvl w:ilvl="1" w:tplc="34C84FDE">
      <w:start w:val="1"/>
      <w:numFmt w:val="bullet"/>
      <w:lvlText w:val="–"/>
      <w:lvlJc w:val="left"/>
      <w:pPr>
        <w:tabs>
          <w:tab w:val="num" w:pos="1440"/>
        </w:tabs>
        <w:ind w:left="1440" w:hanging="360"/>
      </w:pPr>
      <w:rPr>
        <w:rFonts w:ascii="Arial" w:hAnsi="Arial" w:hint="default"/>
      </w:rPr>
    </w:lvl>
    <w:lvl w:ilvl="2" w:tplc="58B8106A">
      <w:start w:val="1"/>
      <w:numFmt w:val="bullet"/>
      <w:lvlText w:val="–"/>
      <w:lvlJc w:val="left"/>
      <w:pPr>
        <w:tabs>
          <w:tab w:val="num" w:pos="2160"/>
        </w:tabs>
        <w:ind w:left="2160" w:hanging="360"/>
      </w:pPr>
      <w:rPr>
        <w:rFonts w:ascii="Arial" w:hAnsi="Arial" w:hint="default"/>
      </w:rPr>
    </w:lvl>
    <w:lvl w:ilvl="3" w:tplc="F0580856">
      <w:start w:val="1"/>
      <w:numFmt w:val="bullet"/>
      <w:lvlText w:val="–"/>
      <w:lvlJc w:val="left"/>
      <w:pPr>
        <w:tabs>
          <w:tab w:val="num" w:pos="2880"/>
        </w:tabs>
        <w:ind w:left="2880" w:hanging="360"/>
      </w:pPr>
      <w:rPr>
        <w:rFonts w:ascii="Arial" w:hAnsi="Arial" w:hint="default"/>
      </w:rPr>
    </w:lvl>
    <w:lvl w:ilvl="4" w:tplc="18E67CC0" w:tentative="1">
      <w:start w:val="1"/>
      <w:numFmt w:val="bullet"/>
      <w:lvlText w:val="–"/>
      <w:lvlJc w:val="left"/>
      <w:pPr>
        <w:tabs>
          <w:tab w:val="num" w:pos="3600"/>
        </w:tabs>
        <w:ind w:left="3600" w:hanging="360"/>
      </w:pPr>
      <w:rPr>
        <w:rFonts w:ascii="Arial" w:hAnsi="Arial" w:hint="default"/>
      </w:rPr>
    </w:lvl>
    <w:lvl w:ilvl="5" w:tplc="3EE40A08" w:tentative="1">
      <w:start w:val="1"/>
      <w:numFmt w:val="bullet"/>
      <w:lvlText w:val="–"/>
      <w:lvlJc w:val="left"/>
      <w:pPr>
        <w:tabs>
          <w:tab w:val="num" w:pos="4320"/>
        </w:tabs>
        <w:ind w:left="4320" w:hanging="360"/>
      </w:pPr>
      <w:rPr>
        <w:rFonts w:ascii="Arial" w:hAnsi="Arial" w:hint="default"/>
      </w:rPr>
    </w:lvl>
    <w:lvl w:ilvl="6" w:tplc="2C786DFE" w:tentative="1">
      <w:start w:val="1"/>
      <w:numFmt w:val="bullet"/>
      <w:lvlText w:val="–"/>
      <w:lvlJc w:val="left"/>
      <w:pPr>
        <w:tabs>
          <w:tab w:val="num" w:pos="5040"/>
        </w:tabs>
        <w:ind w:left="5040" w:hanging="360"/>
      </w:pPr>
      <w:rPr>
        <w:rFonts w:ascii="Arial" w:hAnsi="Arial" w:hint="default"/>
      </w:rPr>
    </w:lvl>
    <w:lvl w:ilvl="7" w:tplc="1742C4CC" w:tentative="1">
      <w:start w:val="1"/>
      <w:numFmt w:val="bullet"/>
      <w:lvlText w:val="–"/>
      <w:lvlJc w:val="left"/>
      <w:pPr>
        <w:tabs>
          <w:tab w:val="num" w:pos="5760"/>
        </w:tabs>
        <w:ind w:left="5760" w:hanging="360"/>
      </w:pPr>
      <w:rPr>
        <w:rFonts w:ascii="Arial" w:hAnsi="Arial" w:hint="default"/>
      </w:rPr>
    </w:lvl>
    <w:lvl w:ilvl="8" w:tplc="713224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EF52739"/>
    <w:multiLevelType w:val="hybridMultilevel"/>
    <w:tmpl w:val="4B5A1556"/>
    <w:lvl w:ilvl="0" w:tplc="4930490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11C62"/>
    <w:rsid w:val="000531F3"/>
    <w:rsid w:val="000F1E9E"/>
    <w:rsid w:val="00102B8C"/>
    <w:rsid w:val="00143214"/>
    <w:rsid w:val="00165C0C"/>
    <w:rsid w:val="001B0D58"/>
    <w:rsid w:val="001B5266"/>
    <w:rsid w:val="001C5ADA"/>
    <w:rsid w:val="001D38A4"/>
    <w:rsid w:val="00231167"/>
    <w:rsid w:val="002651C7"/>
    <w:rsid w:val="00267E59"/>
    <w:rsid w:val="00282DCF"/>
    <w:rsid w:val="002C13FE"/>
    <w:rsid w:val="002D6C3D"/>
    <w:rsid w:val="003367E3"/>
    <w:rsid w:val="003B459E"/>
    <w:rsid w:val="003D04DF"/>
    <w:rsid w:val="00401FF6"/>
    <w:rsid w:val="00403DF2"/>
    <w:rsid w:val="00413377"/>
    <w:rsid w:val="0048709C"/>
    <w:rsid w:val="004B0F62"/>
    <w:rsid w:val="004C752C"/>
    <w:rsid w:val="004D3623"/>
    <w:rsid w:val="004F4EBE"/>
    <w:rsid w:val="00544085"/>
    <w:rsid w:val="005C30B2"/>
    <w:rsid w:val="005E74BD"/>
    <w:rsid w:val="00600AC2"/>
    <w:rsid w:val="0066180C"/>
    <w:rsid w:val="00680757"/>
    <w:rsid w:val="00684B16"/>
    <w:rsid w:val="006C4B0B"/>
    <w:rsid w:val="006C5AB4"/>
    <w:rsid w:val="006D0330"/>
    <w:rsid w:val="006E3692"/>
    <w:rsid w:val="006F0C91"/>
    <w:rsid w:val="006F29A7"/>
    <w:rsid w:val="006F472F"/>
    <w:rsid w:val="00730540"/>
    <w:rsid w:val="007377BF"/>
    <w:rsid w:val="007A1FD4"/>
    <w:rsid w:val="007C0F62"/>
    <w:rsid w:val="007C5479"/>
    <w:rsid w:val="007D168B"/>
    <w:rsid w:val="007E7820"/>
    <w:rsid w:val="007F26D3"/>
    <w:rsid w:val="007F39E5"/>
    <w:rsid w:val="00815012"/>
    <w:rsid w:val="00857154"/>
    <w:rsid w:val="00861BB0"/>
    <w:rsid w:val="00883B2E"/>
    <w:rsid w:val="00897226"/>
    <w:rsid w:val="008A2940"/>
    <w:rsid w:val="008A5117"/>
    <w:rsid w:val="008C0402"/>
    <w:rsid w:val="008D1D5E"/>
    <w:rsid w:val="008D4761"/>
    <w:rsid w:val="008E4F61"/>
    <w:rsid w:val="008F090D"/>
    <w:rsid w:val="008F3395"/>
    <w:rsid w:val="008F7935"/>
    <w:rsid w:val="00906B76"/>
    <w:rsid w:val="009116E0"/>
    <w:rsid w:val="00943B69"/>
    <w:rsid w:val="00945C8B"/>
    <w:rsid w:val="00951617"/>
    <w:rsid w:val="00951BBA"/>
    <w:rsid w:val="00952A32"/>
    <w:rsid w:val="00954552"/>
    <w:rsid w:val="00994E5F"/>
    <w:rsid w:val="009A51CF"/>
    <w:rsid w:val="009D66DD"/>
    <w:rsid w:val="009F2370"/>
    <w:rsid w:val="009F76A4"/>
    <w:rsid w:val="00A30DFD"/>
    <w:rsid w:val="00A42D45"/>
    <w:rsid w:val="00A71EF9"/>
    <w:rsid w:val="00A73FE5"/>
    <w:rsid w:val="00A76A5E"/>
    <w:rsid w:val="00A96F5B"/>
    <w:rsid w:val="00AA6223"/>
    <w:rsid w:val="00AB3A7C"/>
    <w:rsid w:val="00AB545F"/>
    <w:rsid w:val="00AC1315"/>
    <w:rsid w:val="00AD2D04"/>
    <w:rsid w:val="00AF248E"/>
    <w:rsid w:val="00B22091"/>
    <w:rsid w:val="00BB4B98"/>
    <w:rsid w:val="00BC3FEF"/>
    <w:rsid w:val="00BC480F"/>
    <w:rsid w:val="00BC6855"/>
    <w:rsid w:val="00C2177A"/>
    <w:rsid w:val="00C45A63"/>
    <w:rsid w:val="00C56E72"/>
    <w:rsid w:val="00C577F8"/>
    <w:rsid w:val="00C83089"/>
    <w:rsid w:val="00C9373F"/>
    <w:rsid w:val="00CB062C"/>
    <w:rsid w:val="00CB78AA"/>
    <w:rsid w:val="00CD4656"/>
    <w:rsid w:val="00CE0CF3"/>
    <w:rsid w:val="00D275DA"/>
    <w:rsid w:val="00D44CC4"/>
    <w:rsid w:val="00DC1F94"/>
    <w:rsid w:val="00DC4114"/>
    <w:rsid w:val="00DC7E8E"/>
    <w:rsid w:val="00DF5F51"/>
    <w:rsid w:val="00E15948"/>
    <w:rsid w:val="00E21ABB"/>
    <w:rsid w:val="00E633AF"/>
    <w:rsid w:val="00EA1621"/>
    <w:rsid w:val="00EC0FE2"/>
    <w:rsid w:val="00ED3118"/>
    <w:rsid w:val="00ED7E9F"/>
    <w:rsid w:val="00EE6D67"/>
    <w:rsid w:val="00F3272A"/>
    <w:rsid w:val="00F45595"/>
    <w:rsid w:val="00F735B9"/>
    <w:rsid w:val="00F9122F"/>
    <w:rsid w:val="00FA58FA"/>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334E8"/>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61BB0"/>
    <w:pPr>
      <w:ind w:left="720"/>
      <w:contextualSpacing/>
    </w:pPr>
  </w:style>
  <w:style w:type="paragraph" w:customStyle="1" w:styleId="EQ">
    <w:name w:val="EQ"/>
    <w:basedOn w:val="Normal"/>
    <w:next w:val="Normal"/>
    <w:link w:val="EQChar"/>
    <w:rsid w:val="00BC3FEF"/>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B1">
    <w:name w:val="B1"/>
    <w:basedOn w:val="List"/>
    <w:link w:val="B1Char"/>
    <w:rsid w:val="00BC3FEF"/>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BC3FEF"/>
    <w:rPr>
      <w:rFonts w:ascii="Times New Roman" w:eastAsia="Times New Roman" w:hAnsi="Times New Roman" w:cs="Times New Roman"/>
      <w:sz w:val="20"/>
      <w:szCs w:val="20"/>
      <w:lang w:val="en-GB"/>
    </w:rPr>
  </w:style>
  <w:style w:type="character" w:customStyle="1" w:styleId="EQChar">
    <w:name w:val="EQ Char"/>
    <w:link w:val="EQ"/>
    <w:locked/>
    <w:rsid w:val="00BC3FEF"/>
    <w:rPr>
      <w:rFonts w:ascii="Times New Roman" w:eastAsia="Times New Roman" w:hAnsi="Times New Roman" w:cs="Times New Roman"/>
      <w:noProof/>
      <w:sz w:val="20"/>
      <w:szCs w:val="20"/>
      <w:lang w:val="en-GB"/>
    </w:rPr>
  </w:style>
  <w:style w:type="paragraph" w:styleId="List">
    <w:name w:val="List"/>
    <w:basedOn w:val="Normal"/>
    <w:uiPriority w:val="99"/>
    <w:semiHidden/>
    <w:unhideWhenUsed/>
    <w:rsid w:val="00BC3FE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19370658">
      <w:bodyDiv w:val="1"/>
      <w:marLeft w:val="0"/>
      <w:marRight w:val="0"/>
      <w:marTop w:val="0"/>
      <w:marBottom w:val="0"/>
      <w:divBdr>
        <w:top w:val="none" w:sz="0" w:space="0" w:color="auto"/>
        <w:left w:val="none" w:sz="0" w:space="0" w:color="auto"/>
        <w:bottom w:val="none" w:sz="0" w:space="0" w:color="auto"/>
        <w:right w:val="none" w:sz="0" w:space="0" w:color="auto"/>
      </w:divBdr>
    </w:div>
    <w:div w:id="1906259927">
      <w:bodyDiv w:val="1"/>
      <w:marLeft w:val="0"/>
      <w:marRight w:val="0"/>
      <w:marTop w:val="0"/>
      <w:marBottom w:val="0"/>
      <w:divBdr>
        <w:top w:val="none" w:sz="0" w:space="0" w:color="auto"/>
        <w:left w:val="none" w:sz="0" w:space="0" w:color="auto"/>
        <w:bottom w:val="none" w:sz="0" w:space="0" w:color="auto"/>
        <w:right w:val="none" w:sz="0" w:space="0" w:color="auto"/>
      </w:divBdr>
    </w:div>
    <w:div w:id="2012179101">
      <w:bodyDiv w:val="1"/>
      <w:marLeft w:val="0"/>
      <w:marRight w:val="0"/>
      <w:marTop w:val="0"/>
      <w:marBottom w:val="0"/>
      <w:divBdr>
        <w:top w:val="none" w:sz="0" w:space="0" w:color="auto"/>
        <w:left w:val="none" w:sz="0" w:space="0" w:color="auto"/>
        <w:bottom w:val="none" w:sz="0" w:space="0" w:color="auto"/>
        <w:right w:val="none" w:sz="0" w:space="0" w:color="auto"/>
      </w:divBdr>
      <w:divsChild>
        <w:div w:id="1584879581">
          <w:marLeft w:val="2520"/>
          <w:marRight w:val="0"/>
          <w:marTop w:val="240"/>
          <w:marBottom w:val="0"/>
          <w:divBdr>
            <w:top w:val="none" w:sz="0" w:space="0" w:color="auto"/>
            <w:left w:val="none" w:sz="0" w:space="0" w:color="auto"/>
            <w:bottom w:val="none" w:sz="0" w:space="0" w:color="auto"/>
            <w:right w:val="none" w:sz="0" w:space="0" w:color="auto"/>
          </w:divBdr>
        </w:div>
        <w:div w:id="286358576">
          <w:marLeft w:val="252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2018-06-25T21:34:00Z</dcterms:created>
  <dcterms:modified xsi:type="dcterms:W3CDTF">2018-06-25T21:56:00Z</dcterms:modified>
</cp:coreProperties>
</file>